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120" w:lineRule="auto"/>
        <w:jc w:val="center"/>
        <w:rPr>
          <w:b w:val="1"/>
          <w:bCs w:val="1"/>
          <w:i w:val="1"/>
          <w:iCs w:val="1"/>
        </w:rPr>
      </w:pPr>
      <w:r w:rsidDel="00000000" w:rsidR="00000000" w:rsidRPr="00000000">
        <w:rPr>
          <w:rtl w:val="0"/>
        </w:rPr>
      </w:r>
    </w:p>
    <w:p w:rsidR="00000000" w:rsidDel="00000000" w:rsidP="00000000" w:rsidRDefault="00000000" w:rsidRPr="00000000" w14:paraId="00000002">
      <w:pPr>
        <w:spacing w:after="80" w:before="120" w:lineRule="auto"/>
        <w:jc w:val="center"/>
        <w:rPr>
          <w:b w:val="1"/>
          <w:bCs w:val="1"/>
          <w:i w:val="1"/>
          <w:iCs w:val="1"/>
        </w:rPr>
      </w:pPr>
      <w:r w:rsidDel="00000000" w:rsidR="00000000" w:rsidRPr="00000000">
        <w:rPr>
          <w:rtl w:val="0"/>
        </w:rPr>
      </w:r>
    </w:p>
    <w:p w:rsidR="00000000" w:rsidDel="00000000" w:rsidP="00000000" w:rsidRDefault="00000000" w:rsidRPr="00000000" w14:paraId="00000003">
      <w:pPr>
        <w:spacing w:after="80" w:before="120" w:lineRule="auto"/>
        <w:jc w:val="center"/>
        <w:rPr>
          <w:b w:val="1"/>
          <w:bCs w:val="1"/>
          <w:i w:val="1"/>
          <w:iCs w:val="1"/>
        </w:rPr>
      </w:pPr>
      <w:r w:rsidDel="00000000" w:rsidR="00000000" w:rsidRPr="00000000">
        <w:rPr>
          <w:rtl w:val="0"/>
        </w:rPr>
      </w:r>
    </w:p>
    <w:p w:rsidR="00000000" w:rsidDel="00000000" w:rsidP="00000000" w:rsidRDefault="00000000" w:rsidRPr="00000000" w14:paraId="00000004">
      <w:pPr>
        <w:spacing w:after="120" w:lineRule="auto"/>
        <w:jc w:val="center"/>
        <w:rPr/>
      </w:pPr>
      <w:r w:rsidDel="00000000" w:rsidR="00000000" w:rsidRPr="00000000">
        <w:rPr>
          <w:b w:val="1"/>
          <w:bCs w:val="1"/>
          <w:sz w:val="28"/>
          <w:szCs w:val="28"/>
          <w:rtl w:val="0"/>
        </w:rPr>
        <w:t xml:space="preserve">Stabilization of Expansive Soils in Hill Regions Using Industrial By-Products: A Sustainable Approach for Road Subgrade and Slope Protection</w:t>
      </w:r>
      <w:r w:rsidDel="00000000" w:rsidR="00000000" w:rsidRPr="00000000">
        <w:rPr>
          <w:rtl w:val="0"/>
        </w:rPr>
      </w:r>
    </w:p>
    <w:p w:rsidR="00000000" w:rsidDel="00000000" w:rsidP="00000000" w:rsidRDefault="00000000" w:rsidRPr="00000000" w14:paraId="00000005">
      <w:pPr>
        <w:spacing w:after="60" w:before="80" w:lineRule="auto"/>
        <w:jc w:val="center"/>
        <w:rPr/>
      </w:pPr>
      <w:r w:rsidDel="00000000" w:rsidR="00000000" w:rsidRPr="00000000">
        <w:rPr>
          <w:b w:val="1"/>
          <w:bCs w:val="1"/>
          <w:rtl w:val="0"/>
        </w:rPr>
        <w:t xml:space="preserve">Ashish Puri</w:t>
      </w:r>
      <w:r w:rsidDel="00000000" w:rsidR="00000000" w:rsidRPr="00000000">
        <w:rPr>
          <w:rtl w:val="0"/>
        </w:rPr>
      </w:r>
    </w:p>
    <w:p w:rsidR="00000000" w:rsidDel="00000000" w:rsidP="00000000" w:rsidRDefault="00000000" w:rsidRPr="00000000" w14:paraId="00000006">
      <w:pPr>
        <w:spacing w:after="40" w:lineRule="auto"/>
        <w:jc w:val="center"/>
        <w:rPr>
          <w:sz w:val="24"/>
          <w:szCs w:val="24"/>
        </w:rPr>
      </w:pPr>
      <w:r w:rsidDel="00000000" w:rsidR="00000000" w:rsidRPr="00000000">
        <w:rPr>
          <w:i w:val="1"/>
          <w:iCs w:val="1"/>
          <w:sz w:val="24"/>
          <w:szCs w:val="24"/>
          <w:rtl w:val="0"/>
        </w:rPr>
        <w:t xml:space="preserve">Co-authors: Dr. Asha Kulshrestha  |  Shiva Prajapati</w:t>
      </w:r>
      <w:r w:rsidDel="00000000" w:rsidR="00000000" w:rsidRPr="00000000">
        <w:rPr>
          <w:rtl w:val="0"/>
        </w:rPr>
      </w:r>
    </w:p>
    <w:p w:rsidR="00000000" w:rsidDel="00000000" w:rsidP="00000000" w:rsidRDefault="00000000" w:rsidRPr="00000000" w14:paraId="00000007">
      <w:pPr>
        <w:spacing w:after="60" w:lineRule="auto"/>
        <w:jc w:val="center"/>
        <w:rPr>
          <w:sz w:val="24"/>
          <w:szCs w:val="24"/>
        </w:rPr>
      </w:pPr>
      <w:r w:rsidDel="00000000" w:rsidR="00000000" w:rsidRPr="00000000">
        <w:rPr>
          <w:i w:val="1"/>
          <w:iCs w:val="1"/>
          <w:sz w:val="24"/>
          <w:szCs w:val="24"/>
          <w:rtl w:val="0"/>
        </w:rPr>
        <w:t xml:space="preserve">Department of Civil Engineering, School of Management Sciences, Lucknow</w:t>
      </w:r>
      <w:r w:rsidDel="00000000" w:rsidR="00000000" w:rsidRPr="00000000">
        <w:rPr>
          <w:rtl w:val="0"/>
        </w:rPr>
      </w:r>
    </w:p>
    <w:p w:rsidR="00000000" w:rsidDel="00000000" w:rsidP="00000000" w:rsidRDefault="00000000" w:rsidRPr="00000000" w14:paraId="00000008">
      <w:pPr>
        <w:spacing w:after="60" w:lineRule="auto"/>
        <w:jc w:val="center"/>
        <w:rPr>
          <w:sz w:val="24"/>
          <w:szCs w:val="24"/>
        </w:rPr>
      </w:pPr>
      <w:r w:rsidDel="00000000" w:rsidR="00000000" w:rsidRPr="00000000">
        <w:rPr>
          <w:i w:val="1"/>
          <w:iCs w:val="1"/>
          <w:sz w:val="24"/>
          <w:szCs w:val="24"/>
          <w:rtl w:val="0"/>
        </w:rPr>
        <w:t xml:space="preserve">Affiliated to Dr. A.P.J. Abdul Kalam Technical University, Uttar Pradesh, Lucknow</w:t>
      </w:r>
      <w:r w:rsidDel="00000000" w:rsidR="00000000" w:rsidRPr="00000000">
        <w:rPr>
          <w:rtl w:val="0"/>
        </w:rPr>
      </w:r>
    </w:p>
    <w:p w:rsidR="00000000" w:rsidDel="00000000" w:rsidP="00000000" w:rsidRDefault="00000000" w:rsidRPr="00000000" w14:paraId="00000009">
      <w:pPr>
        <w:spacing w:after="200" w:lineRule="auto"/>
        <w:jc w:val="center"/>
        <w:rPr>
          <w:sz w:val="24"/>
          <w:szCs w:val="24"/>
        </w:rPr>
      </w:pPr>
      <w:r w:rsidDel="00000000" w:rsidR="00000000" w:rsidRPr="00000000">
        <w:rPr>
          <w:i w:val="1"/>
          <w:iCs w:val="1"/>
          <w:sz w:val="24"/>
          <w:szCs w:val="24"/>
          <w:rtl w:val="0"/>
        </w:rPr>
        <w:t xml:space="preserve">ashish22nit@gmail.com</w:t>
      </w:r>
      <w:r w:rsidDel="00000000" w:rsidR="00000000" w:rsidRPr="00000000">
        <w:rPr>
          <w:rtl w:val="0"/>
        </w:rPr>
      </w:r>
    </w:p>
    <w:p w:rsidR="00000000" w:rsidDel="00000000" w:rsidP="00000000" w:rsidRDefault="00000000" w:rsidRPr="00000000" w14:paraId="0000000A">
      <w:pPr>
        <w:spacing w:after="80" w:before="120" w:lineRule="auto"/>
        <w:jc w:val="center"/>
        <w:rPr>
          <w:b w:val="1"/>
          <w:bCs w:val="1"/>
          <w:i w:val="1"/>
          <w:iCs w:val="1"/>
          <w:sz w:val="24"/>
          <w:szCs w:val="24"/>
        </w:rPr>
      </w:pPr>
      <w:r w:rsidDel="00000000" w:rsidR="00000000" w:rsidRPr="00000000">
        <w:rPr>
          <w:rtl w:val="0"/>
        </w:rPr>
      </w:r>
    </w:p>
    <w:p w:rsidR="00000000" w:rsidDel="00000000" w:rsidP="00000000" w:rsidRDefault="00000000" w:rsidRPr="00000000" w14:paraId="0000000B">
      <w:pPr>
        <w:spacing w:after="80" w:before="120" w:lineRule="auto"/>
        <w:rPr>
          <w:sz w:val="24"/>
          <w:szCs w:val="24"/>
        </w:rPr>
      </w:pPr>
      <w:r w:rsidDel="00000000" w:rsidR="00000000" w:rsidRPr="00000000">
        <w:rPr>
          <w:b w:val="1"/>
          <w:bCs w:val="1"/>
          <w:i w:val="1"/>
          <w:iCs w:val="1"/>
          <w:sz w:val="24"/>
          <w:szCs w:val="24"/>
          <w:rtl w:val="0"/>
        </w:rPr>
        <w:t xml:space="preserve">Abstract</w:t>
      </w:r>
      <w:r w:rsidDel="00000000" w:rsidR="00000000" w:rsidRPr="00000000">
        <w:rPr>
          <w:rtl w:val="0"/>
        </w:rPr>
      </w:r>
    </w:p>
    <w:p w:rsidR="00000000" w:rsidDel="00000000" w:rsidP="00000000" w:rsidRDefault="00000000" w:rsidRPr="00000000" w14:paraId="0000000C">
      <w:pPr>
        <w:spacing w:after="100" w:lineRule="auto"/>
        <w:jc w:val="both"/>
        <w:rPr>
          <w:sz w:val="24"/>
          <w:szCs w:val="24"/>
        </w:rPr>
      </w:pPr>
      <w:r w:rsidDel="00000000" w:rsidR="00000000" w:rsidRPr="00000000">
        <w:rPr>
          <w:sz w:val="24"/>
          <w:szCs w:val="24"/>
          <w:rtl w:val="0"/>
        </w:rPr>
        <w:t xml:space="preserve">Expansive soils, characterized by significant volumetric changes in response to moisture fluctuations, pose severe geotechnical challenges in hill and mountainous terrains where seasonal rainfall patterns are highly variable and unpredictable. The swelling and shrinkage behavior of such soils frequently leads to pavement distress, slope instability, retaining wall failures, and foundation damage — threats that are further amplified by the intensifying effects of climate change. Conventional chemical stabilization using lime and cement, while effective, raises environmental and economic concerns in ecologically sensitive hill zones. This study investigates the effectiveness of industrial by-products — Ground Granulated Blast Furnace Slag (GGBS), Fly Ash (Class F), and Rice Husk Ash (RHA) — as sustainable stabilizing agents for expansive black cotton soil collected from hill-fringe areas. Laboratory investigations following IS code provisions encompassed Proctor Compaction Tests, California Bearing Ratio (CBR), Unconfined Compressive Strength (UCS), Free Swell Index (FSI), and Atterberg Limits at varying additive proportions (5%, 10%, 15%, and 20% by dry weight). Results demonstrate that a binary blend of GGBS (15%) and RHA (10%) achieves a 62% reduction in Free Swell Index, a 2.8-fold increase in UCS, and a CBR improvement of approximately 74% over untreated soil at 7-day curing. Microstructural analysis using Scanning Electron Microscopy (SEM) and X-Ray Diffraction (XRD) confirmed formation of cementitious compounds (C-S-H and C-A-H gels) responsible for strength gain and swell suppression. Environmental impact assessment validates that the proposed approach reduces carbon footprint by approximately 45% compared to conventional cement-based treatment.</w:t>
      </w:r>
    </w:p>
    <w:p w:rsidR="00000000" w:rsidDel="00000000" w:rsidP="00000000" w:rsidRDefault="00000000" w:rsidRPr="00000000" w14:paraId="0000000D">
      <w:pPr>
        <w:spacing w:after="160" w:before="60" w:lineRule="auto"/>
        <w:jc w:val="both"/>
        <w:rPr>
          <w:sz w:val="24"/>
          <w:szCs w:val="24"/>
        </w:rPr>
      </w:pPr>
      <w:r w:rsidDel="00000000" w:rsidR="00000000" w:rsidRPr="00000000">
        <w:rPr>
          <w:b w:val="1"/>
          <w:bCs w:val="1"/>
          <w:i w:val="1"/>
          <w:iCs w:val="1"/>
          <w:sz w:val="24"/>
          <w:szCs w:val="24"/>
          <w:rtl w:val="0"/>
        </w:rPr>
        <w:t xml:space="preserve">Keywords — </w:t>
      </w:r>
      <w:r w:rsidDel="00000000" w:rsidR="00000000" w:rsidRPr="00000000">
        <w:rPr>
          <w:i w:val="1"/>
          <w:iCs w:val="1"/>
          <w:sz w:val="24"/>
          <w:szCs w:val="24"/>
          <w:rtl w:val="0"/>
        </w:rPr>
        <w:t xml:space="preserve">Expansive soil stabilization; GGBS; Fly Ash; Rice Husk Ash; CBR; UCS; Hill terrain; Sustainable geotechnics</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